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E63DA" w:rsidRPr="001D2632" w:rsidRDefault="003E63DA" w:rsidP="001D2632">
      <w:pPr>
        <w:pStyle w:val="Titolo"/>
        <w:spacing w:after="480"/>
        <w:contextualSpacing w:val="0"/>
        <w:jc w:val="center"/>
        <w:rPr>
          <w:rFonts w:ascii="Arial" w:hAnsi="Arial" w:cs="Arial"/>
          <w:b/>
          <w:sz w:val="24"/>
          <w:szCs w:val="24"/>
        </w:rPr>
      </w:pPr>
      <w:r w:rsidRPr="001D2632">
        <w:rPr>
          <w:rFonts w:ascii="Arial" w:hAnsi="Arial" w:cs="Arial"/>
          <w:b/>
          <w:sz w:val="24"/>
          <w:szCs w:val="24"/>
        </w:rPr>
        <w:t>CLAUSOLA STANDARD DI CODIFICAZIONE</w:t>
      </w:r>
    </w:p>
    <w:p w:rsidR="0010382F" w:rsidRPr="001D2632" w:rsidRDefault="0010382F" w:rsidP="001D2632">
      <w:pPr>
        <w:pStyle w:val="Titolo2"/>
        <w:rPr>
          <w:rFonts w:ascii="Arial" w:hAnsi="Arial" w:cs="Arial"/>
          <w:b/>
          <w:color w:val="auto"/>
          <w:sz w:val="24"/>
          <w:szCs w:val="24"/>
        </w:rPr>
      </w:pPr>
      <w:r w:rsidRPr="001D2632">
        <w:rPr>
          <w:rFonts w:ascii="Arial" w:hAnsi="Arial" w:cs="Arial"/>
          <w:b/>
          <w:color w:val="auto"/>
          <w:sz w:val="24"/>
          <w:szCs w:val="24"/>
        </w:rPr>
        <w:fldChar w:fldCharType="begin"/>
      </w:r>
      <w:r w:rsidRPr="001D2632">
        <w:rPr>
          <w:rFonts w:ascii="Arial" w:hAnsi="Arial" w:cs="Arial"/>
          <w:b/>
          <w:color w:val="auto"/>
          <w:sz w:val="24"/>
          <w:szCs w:val="24"/>
        </w:rPr>
        <w:instrText xml:space="preserve"> TOC \o "1-1" \h \z \u </w:instrText>
      </w:r>
      <w:r w:rsidRPr="001D2632">
        <w:rPr>
          <w:rFonts w:ascii="Arial" w:hAnsi="Arial" w:cs="Arial"/>
          <w:b/>
          <w:color w:val="auto"/>
          <w:sz w:val="24"/>
          <w:szCs w:val="24"/>
        </w:rPr>
        <w:fldChar w:fldCharType="separate"/>
      </w:r>
      <w:r w:rsidRPr="001D2632">
        <w:rPr>
          <w:rFonts w:ascii="Arial" w:hAnsi="Arial" w:cs="Arial"/>
          <w:b/>
          <w:color w:val="auto"/>
          <w:sz w:val="24"/>
          <w:szCs w:val="24"/>
        </w:rPr>
        <w:t xml:space="preserve"> Art. 1 (Requisito di codificazione)</w:t>
      </w:r>
    </w:p>
    <w:p w:rsidR="003E63DA" w:rsidRPr="001D2632" w:rsidRDefault="0010382F" w:rsidP="001D2632">
      <w:pPr>
        <w:rPr>
          <w:rFonts w:ascii="Arial" w:hAnsi="Arial" w:cs="Arial"/>
        </w:rPr>
      </w:pPr>
      <w:r w:rsidRPr="001D2632">
        <w:rPr>
          <w:rFonts w:eastAsiaTheme="majorEastAsia"/>
          <w:b/>
        </w:rPr>
        <w:fldChar w:fldCharType="end"/>
      </w:r>
      <w:r w:rsidR="003E63DA" w:rsidRPr="001D2632">
        <w:rPr>
          <w:rFonts w:ascii="Arial" w:hAnsi="Arial" w:cs="Arial"/>
        </w:rPr>
        <w:t xml:space="preserve">La codificazione degli articoli di rifornimento è obbligatoria in accordo ai principi del NATO </w:t>
      </w:r>
      <w:proofErr w:type="spellStart"/>
      <w:r w:rsidR="003E63DA" w:rsidRPr="001D2632">
        <w:rPr>
          <w:rFonts w:ascii="Arial" w:hAnsi="Arial" w:cs="Arial"/>
        </w:rPr>
        <w:t>Codification</w:t>
      </w:r>
      <w:proofErr w:type="spellEnd"/>
      <w:r w:rsidR="003E63DA" w:rsidRPr="001D2632">
        <w:rPr>
          <w:rFonts w:ascii="Arial" w:hAnsi="Arial" w:cs="Arial"/>
        </w:rPr>
        <w:t xml:space="preserve"> System e perché la Forza Armata destinataria possa prenderli in carico e renderli utilizzabili introducendoli così nel ciclo logistico nazionale.</w:t>
      </w:r>
    </w:p>
    <w:p w:rsidR="003E63DA" w:rsidRPr="003203E8" w:rsidRDefault="003E63DA" w:rsidP="003203E8">
      <w:pPr>
        <w:rPr>
          <w:rFonts w:ascii="Arial" w:hAnsi="Arial" w:cs="Arial"/>
        </w:rPr>
      </w:pPr>
      <w:r w:rsidRPr="003203E8">
        <w:rPr>
          <w:rFonts w:ascii="Arial" w:hAnsi="Arial" w:cs="Arial"/>
        </w:rPr>
        <w:t>Per poter codificare, si deve già disporre del codice NCAGE del Contraente e dei codici CEODIFE dell’Ente Appaltante (EA) e del Gestore Amministrativo, tutti rilasciati dall’Organo Centrale di Codificazione (OCC).</w:t>
      </w:r>
    </w:p>
    <w:p w:rsidR="003E63DA" w:rsidRPr="003203E8" w:rsidRDefault="003E63DA" w:rsidP="003203E8">
      <w:pPr>
        <w:spacing w:after="240"/>
        <w:rPr>
          <w:rFonts w:ascii="Arial" w:hAnsi="Arial" w:cs="Arial"/>
          <w:b/>
        </w:rPr>
      </w:pPr>
      <w:r w:rsidRPr="003203E8">
        <w:rPr>
          <w:rFonts w:ascii="Arial" w:hAnsi="Arial" w:cs="Arial"/>
        </w:rPr>
        <w:t>I dati di codificazione, rispondenti al requisito contrattuale relativo agli articoli in fornitura sia di origine nazionale sia estera che il Contraente s’impegna a fornire, sono composti da: dati identificativi (CM-03), dati di gestione (GM-02), dati tecnico-amministrativi (L07) e relativi codici a barre (CAB).</w:t>
      </w:r>
    </w:p>
    <w:p w:rsidR="003E63DA" w:rsidRPr="008735B7" w:rsidRDefault="003E63DA" w:rsidP="001D2632">
      <w:pPr>
        <w:pStyle w:val="Titolo2"/>
        <w:rPr>
          <w:rFonts w:ascii="Arial" w:hAnsi="Arial" w:cs="Arial"/>
          <w:b/>
          <w:color w:val="auto"/>
          <w:sz w:val="24"/>
          <w:szCs w:val="24"/>
          <w:lang w:val="en-US"/>
        </w:rPr>
      </w:pPr>
      <w:r w:rsidRPr="008735B7">
        <w:rPr>
          <w:rFonts w:ascii="Arial" w:hAnsi="Arial" w:cs="Arial"/>
          <w:b/>
          <w:color w:val="auto"/>
          <w:sz w:val="24"/>
          <w:szCs w:val="24"/>
          <w:lang w:val="en-US"/>
        </w:rPr>
        <w:t>Art. 2 (SPLC- Spare Part List for Codification)</w:t>
      </w:r>
    </w:p>
    <w:p w:rsidR="003E63DA" w:rsidRPr="003203E8" w:rsidRDefault="003E63DA" w:rsidP="003203E8">
      <w:pPr>
        <w:rPr>
          <w:rFonts w:ascii="Arial" w:hAnsi="Arial" w:cs="Arial"/>
        </w:rPr>
      </w:pPr>
      <w:r w:rsidRPr="003203E8">
        <w:rPr>
          <w:rFonts w:ascii="Arial" w:hAnsi="Arial" w:cs="Arial"/>
        </w:rPr>
        <w:t xml:space="preserve">Il Contraente, a fronte della fornitura contrattuale, dovrà proporre all’EA, entro </w:t>
      </w:r>
      <w:r w:rsidR="003B4562" w:rsidRPr="003203E8">
        <w:rPr>
          <w:rFonts w:ascii="Arial" w:hAnsi="Arial" w:cs="Arial"/>
          <w:b/>
        </w:rPr>
        <w:t>30</w:t>
      </w:r>
      <w:r w:rsidRPr="003203E8">
        <w:rPr>
          <w:rFonts w:ascii="Arial" w:hAnsi="Arial" w:cs="Arial"/>
        </w:rPr>
        <w:t xml:space="preserve"> </w:t>
      </w:r>
      <w:r w:rsidR="003B4562" w:rsidRPr="003203E8">
        <w:rPr>
          <w:rFonts w:ascii="Arial" w:hAnsi="Arial" w:cs="Arial"/>
        </w:rPr>
        <w:t xml:space="preserve">(trenta) </w:t>
      </w:r>
      <w:r w:rsidRPr="003203E8">
        <w:rPr>
          <w:rFonts w:ascii="Arial" w:hAnsi="Arial" w:cs="Arial"/>
        </w:rPr>
        <w:t xml:space="preserve">giorni </w:t>
      </w:r>
      <w:r w:rsidRPr="003203E8">
        <w:rPr>
          <w:rFonts w:ascii="Arial" w:hAnsi="Arial" w:cs="Arial"/>
          <w:b/>
        </w:rPr>
        <w:t>(nota 1)</w:t>
      </w:r>
      <w:r w:rsidRPr="003203E8">
        <w:rPr>
          <w:rFonts w:ascii="Arial" w:hAnsi="Arial" w:cs="Arial"/>
        </w:rPr>
        <w:t xml:space="preserve"> decorrenti dalla data di notifica dell’avvenuta approvazione dell’atto negoziale, una lista di articoli da codificare </w:t>
      </w:r>
      <w:proofErr w:type="spellStart"/>
      <w:r w:rsidRPr="003203E8">
        <w:rPr>
          <w:rFonts w:ascii="Arial" w:hAnsi="Arial" w:cs="Arial"/>
          <w:i/>
        </w:rPr>
        <w:t>Spare</w:t>
      </w:r>
      <w:proofErr w:type="spellEnd"/>
      <w:r w:rsidRPr="003203E8">
        <w:rPr>
          <w:rFonts w:ascii="Arial" w:hAnsi="Arial" w:cs="Arial"/>
          <w:i/>
        </w:rPr>
        <w:t xml:space="preserve"> Part List for </w:t>
      </w:r>
      <w:proofErr w:type="spellStart"/>
      <w:r w:rsidRPr="003203E8">
        <w:rPr>
          <w:rFonts w:ascii="Arial" w:hAnsi="Arial" w:cs="Arial"/>
          <w:i/>
        </w:rPr>
        <w:t>Codification</w:t>
      </w:r>
      <w:proofErr w:type="spellEnd"/>
      <w:r w:rsidRPr="003203E8">
        <w:rPr>
          <w:rFonts w:ascii="Arial" w:hAnsi="Arial" w:cs="Arial"/>
        </w:rPr>
        <w:t xml:space="preserve"> -SPLC.</w:t>
      </w:r>
    </w:p>
    <w:p w:rsidR="003E63DA" w:rsidRPr="003203E8" w:rsidRDefault="003E63DA" w:rsidP="003203E8">
      <w:pPr>
        <w:rPr>
          <w:rFonts w:ascii="Arial" w:hAnsi="Arial" w:cs="Arial"/>
        </w:rPr>
      </w:pPr>
      <w:r w:rsidRPr="003203E8">
        <w:rPr>
          <w:rFonts w:ascii="Arial" w:hAnsi="Arial" w:cs="Arial"/>
        </w:rPr>
        <w:t>L’EA, se ritenuto opportuno, potrà indire specifica riunione preliminare per definire la SPLC, cui potranno partecipare lo stesso Contraente, l’Ente Logistico (EL)/Organo Codificatore (OC) di FA e l’OCC.</w:t>
      </w:r>
    </w:p>
    <w:p w:rsidR="003E63DA" w:rsidRPr="003203E8" w:rsidRDefault="003E63DA" w:rsidP="003203E8">
      <w:pPr>
        <w:rPr>
          <w:rFonts w:ascii="Arial" w:hAnsi="Arial" w:cs="Arial"/>
        </w:rPr>
      </w:pPr>
      <w:r w:rsidRPr="003203E8">
        <w:rPr>
          <w:rFonts w:ascii="Arial" w:hAnsi="Arial" w:cs="Arial"/>
        </w:rPr>
        <w:t xml:space="preserve">Tale SPLC dovrà essere presentata per tutti gli articoli in fornitura, anche se risultassero già codificati. </w:t>
      </w:r>
    </w:p>
    <w:p w:rsidR="003E63DA" w:rsidRPr="003203E8" w:rsidRDefault="003E63DA" w:rsidP="003203E8">
      <w:pPr>
        <w:rPr>
          <w:rFonts w:ascii="Arial" w:hAnsi="Arial" w:cs="Arial"/>
        </w:rPr>
      </w:pPr>
      <w:r w:rsidRPr="003203E8">
        <w:rPr>
          <w:rFonts w:ascii="Arial" w:hAnsi="Arial" w:cs="Arial"/>
        </w:rPr>
        <w:t xml:space="preserve">Nella SPLC dovranno essere inseriti tutti i dati essenziali indicati nella Guida al Sistema di Codificazione NATO.  In particolare, vanno inseriti per ogni articolo il part number principale (cioè quello del Costruttore o del Responsabile del progetto o dell’Ente Governativo responsabile dell’emissione norma/specifica) ed, eventualmente, il/i part number secondario/i (cioè quello dei Fornitori). </w:t>
      </w:r>
    </w:p>
    <w:p w:rsidR="003E63DA" w:rsidRPr="003203E8" w:rsidRDefault="003E63DA" w:rsidP="003203E8">
      <w:pPr>
        <w:rPr>
          <w:rFonts w:ascii="Arial" w:hAnsi="Arial" w:cs="Arial"/>
        </w:rPr>
      </w:pPr>
      <w:r w:rsidRPr="003203E8">
        <w:rPr>
          <w:rFonts w:ascii="Arial" w:hAnsi="Arial" w:cs="Arial"/>
        </w:rPr>
        <w:t>La SPLC dovrà essere divisa in liste con articoli di produzione nazionale e articoli di produzione estera.</w:t>
      </w:r>
    </w:p>
    <w:p w:rsidR="003E63DA" w:rsidRPr="003203E8" w:rsidRDefault="003E63DA" w:rsidP="003203E8">
      <w:pPr>
        <w:spacing w:after="240"/>
        <w:rPr>
          <w:rFonts w:ascii="Arial" w:hAnsi="Arial" w:cs="Arial"/>
          <w:b/>
        </w:rPr>
      </w:pPr>
      <w:r w:rsidRPr="003203E8">
        <w:rPr>
          <w:rFonts w:ascii="Arial" w:hAnsi="Arial" w:cs="Arial"/>
        </w:rPr>
        <w:t>La SPLC definitiva dovrà poi essere inviat</w:t>
      </w:r>
      <w:r w:rsidR="00FB4683" w:rsidRPr="003203E8">
        <w:rPr>
          <w:rFonts w:ascii="Arial" w:hAnsi="Arial" w:cs="Arial"/>
        </w:rPr>
        <w:t xml:space="preserve">a dal Contraente tramite </w:t>
      </w:r>
      <w:proofErr w:type="spellStart"/>
      <w:r w:rsidR="00FB4683" w:rsidRPr="003203E8">
        <w:rPr>
          <w:rFonts w:ascii="Arial" w:hAnsi="Arial" w:cs="Arial"/>
        </w:rPr>
        <w:t>p.e.c</w:t>
      </w:r>
      <w:proofErr w:type="spellEnd"/>
      <w:r w:rsidR="00FB4683" w:rsidRPr="003203E8">
        <w:rPr>
          <w:rFonts w:ascii="Arial" w:hAnsi="Arial" w:cs="Arial"/>
        </w:rPr>
        <w:t>.</w:t>
      </w:r>
      <w:r w:rsidRPr="003203E8">
        <w:rPr>
          <w:rFonts w:ascii="Arial" w:hAnsi="Arial" w:cs="Arial"/>
        </w:rPr>
        <w:t xml:space="preserve"> all’EA e da quest’ultimo approvata formalmente prima che il Contraente possa procedere, secondo come previsto nei successivi art.3,4,5, all’inserimento dei dati sul Sistema Informativo Automatizzato Centralizzato (SIAC) della Difesa messo a disposizione dall’OCC tramite il </w:t>
      </w:r>
      <w:hyperlink r:id="rId8" w:history="1">
        <w:r w:rsidR="00BC372A">
          <w:rPr>
            <w:rStyle w:val="Collegamentoipertestuale"/>
            <w:rFonts w:ascii="Arial" w:hAnsi="Arial" w:cs="Arial"/>
            <w:color w:val="000000"/>
            <w:u w:val="none"/>
          </w:rPr>
          <w:t>link ufficiale www.siac.difesa.it</w:t>
        </w:r>
      </w:hyperlink>
    </w:p>
    <w:p w:rsidR="003E63DA" w:rsidRPr="001D2632" w:rsidRDefault="003E63DA" w:rsidP="001D2632">
      <w:pPr>
        <w:pStyle w:val="Titolo2"/>
        <w:rPr>
          <w:rFonts w:ascii="Arial" w:hAnsi="Arial" w:cs="Arial"/>
          <w:b/>
          <w:color w:val="auto"/>
          <w:sz w:val="24"/>
          <w:szCs w:val="24"/>
        </w:rPr>
      </w:pPr>
      <w:r w:rsidRPr="001D2632">
        <w:rPr>
          <w:rFonts w:ascii="Arial" w:hAnsi="Arial" w:cs="Arial"/>
          <w:b/>
          <w:color w:val="auto"/>
          <w:sz w:val="24"/>
          <w:szCs w:val="24"/>
        </w:rPr>
        <w:t>Art. 3 (Liste di Screening)</w:t>
      </w:r>
    </w:p>
    <w:p w:rsidR="003E63DA" w:rsidRPr="003203E8" w:rsidRDefault="003E63DA" w:rsidP="003203E8">
      <w:pPr>
        <w:rPr>
          <w:rFonts w:ascii="Arial" w:hAnsi="Arial" w:cs="Arial"/>
        </w:rPr>
      </w:pPr>
      <w:r w:rsidRPr="003203E8">
        <w:rPr>
          <w:rFonts w:ascii="Arial" w:hAnsi="Arial" w:cs="Arial"/>
        </w:rPr>
        <w:t>Al fine di consentire all’OCC le attività di “Screening”, ovvero di verifica dell’eventuale esistenza di articoli già codificati e/o di aggiornamento dei propri dati di archivio, il Contraente, non oltre 10 (dieci) giorni dall’approvazione della lista SPLC di cui all’Art. 2, dovrà compilare ed inviare all’EA e all’OCC, tramite SIAC, le liste estratte dalla SPLC differenziandole tra liste nazionali ed estere.</w:t>
      </w:r>
    </w:p>
    <w:p w:rsidR="003E63DA" w:rsidRPr="003203E8" w:rsidRDefault="003E63DA" w:rsidP="003203E8">
      <w:pPr>
        <w:rPr>
          <w:rFonts w:ascii="Arial" w:hAnsi="Arial" w:cs="Arial"/>
        </w:rPr>
      </w:pPr>
      <w:r w:rsidRPr="003203E8">
        <w:rPr>
          <w:rFonts w:ascii="Arial" w:hAnsi="Arial" w:cs="Arial"/>
        </w:rPr>
        <w:t>Le liste dovranno essere presentate anche per gli articoli che risultassero già codificati.</w:t>
      </w:r>
    </w:p>
    <w:p w:rsidR="003E63DA" w:rsidRPr="003203E8" w:rsidRDefault="003E63DA" w:rsidP="003203E8">
      <w:pPr>
        <w:rPr>
          <w:rFonts w:ascii="Arial" w:hAnsi="Arial" w:cs="Arial"/>
        </w:rPr>
      </w:pPr>
      <w:r w:rsidRPr="003203E8">
        <w:rPr>
          <w:rFonts w:ascii="Arial" w:hAnsi="Arial" w:cs="Arial"/>
        </w:rPr>
        <w:t xml:space="preserve">L’EA, responsabile dal punto di vista tecnico della rispondenza al contratto </w:t>
      </w:r>
      <w:r w:rsidRPr="003203E8">
        <w:rPr>
          <w:rFonts w:ascii="Arial" w:hAnsi="Arial" w:cs="Arial"/>
          <w:b/>
        </w:rPr>
        <w:t>(nota 2)</w:t>
      </w:r>
      <w:r w:rsidRPr="003203E8">
        <w:rPr>
          <w:rFonts w:ascii="Arial" w:hAnsi="Arial" w:cs="Arial"/>
          <w:b/>
          <w:color w:val="7030A0"/>
        </w:rPr>
        <w:t xml:space="preserve"> </w:t>
      </w:r>
      <w:r w:rsidRPr="003203E8">
        <w:rPr>
          <w:rFonts w:ascii="Arial" w:hAnsi="Arial" w:cs="Arial"/>
        </w:rPr>
        <w:t xml:space="preserve">dei dati codificativi (liste e articoli), potrà intervenire entro </w:t>
      </w:r>
      <w:r w:rsidR="003B4562" w:rsidRPr="003203E8">
        <w:rPr>
          <w:rFonts w:ascii="Arial" w:hAnsi="Arial" w:cs="Arial"/>
          <w:b/>
        </w:rPr>
        <w:t>15</w:t>
      </w:r>
      <w:r w:rsidRPr="003203E8">
        <w:rPr>
          <w:rFonts w:ascii="Arial" w:hAnsi="Arial" w:cs="Arial"/>
        </w:rPr>
        <w:t xml:space="preserve"> </w:t>
      </w:r>
      <w:r w:rsidR="003B4562" w:rsidRPr="003203E8">
        <w:rPr>
          <w:rFonts w:ascii="Arial" w:hAnsi="Arial" w:cs="Arial"/>
        </w:rPr>
        <w:t xml:space="preserve">(quindici) </w:t>
      </w:r>
      <w:r w:rsidRPr="003203E8">
        <w:rPr>
          <w:rFonts w:ascii="Arial" w:hAnsi="Arial" w:cs="Arial"/>
        </w:rPr>
        <w:t xml:space="preserve">giorni </w:t>
      </w:r>
      <w:r w:rsidRPr="003203E8">
        <w:rPr>
          <w:rFonts w:ascii="Arial" w:hAnsi="Arial" w:cs="Arial"/>
          <w:b/>
        </w:rPr>
        <w:t>(nota 3)</w:t>
      </w:r>
      <w:r w:rsidRPr="003203E8">
        <w:rPr>
          <w:rFonts w:ascii="Arial" w:hAnsi="Arial" w:cs="Arial"/>
        </w:rPr>
        <w:t xml:space="preserve"> per validare o per richiedere al Contraente le modifiche necessarie al soddisfacimento del requisito contrattuale.</w:t>
      </w:r>
    </w:p>
    <w:p w:rsidR="003E63DA" w:rsidRPr="003203E8" w:rsidRDefault="003E63DA" w:rsidP="003203E8">
      <w:pPr>
        <w:rPr>
          <w:rFonts w:ascii="Arial" w:hAnsi="Arial" w:cs="Arial"/>
        </w:rPr>
      </w:pPr>
      <w:r w:rsidRPr="003203E8">
        <w:rPr>
          <w:rFonts w:ascii="Arial" w:hAnsi="Arial" w:cs="Arial"/>
        </w:rPr>
        <w:t>Le modifiche richieste dovranno essere effettuate dal Contraente entro il termine massimo di 5 (cinque) giorni decorrenti dalla data della richiesta.</w:t>
      </w:r>
    </w:p>
    <w:p w:rsidR="003E63DA" w:rsidRPr="003203E8" w:rsidRDefault="003E63DA" w:rsidP="003203E8">
      <w:pPr>
        <w:rPr>
          <w:rFonts w:ascii="Arial" w:hAnsi="Arial" w:cs="Arial"/>
        </w:rPr>
      </w:pPr>
      <w:r w:rsidRPr="003203E8">
        <w:rPr>
          <w:rFonts w:ascii="Arial" w:hAnsi="Arial" w:cs="Arial"/>
        </w:rPr>
        <w:t>Queste modifiche dovranno poi essere rivalidate dall’EA entro un massimo di 5 (cinque) giorni.</w:t>
      </w:r>
    </w:p>
    <w:p w:rsidR="003E63DA" w:rsidRPr="003203E8" w:rsidRDefault="003E63DA" w:rsidP="003203E8">
      <w:pPr>
        <w:rPr>
          <w:rFonts w:ascii="Arial" w:hAnsi="Arial" w:cs="Arial"/>
        </w:rPr>
      </w:pPr>
      <w:r w:rsidRPr="003203E8">
        <w:rPr>
          <w:rFonts w:ascii="Arial" w:hAnsi="Arial" w:cs="Arial"/>
        </w:rPr>
        <w:lastRenderedPageBreak/>
        <w:t>Tale processo può essere reiterato sino a quando l’EA non ritenga soddisfatto il requisito contrattuale.</w:t>
      </w:r>
    </w:p>
    <w:p w:rsidR="003E63DA" w:rsidRPr="003203E8" w:rsidRDefault="003E63DA" w:rsidP="003203E8">
      <w:pPr>
        <w:rPr>
          <w:rFonts w:ascii="Arial" w:hAnsi="Arial" w:cs="Arial"/>
        </w:rPr>
      </w:pPr>
      <w:r w:rsidRPr="003203E8">
        <w:rPr>
          <w:rFonts w:ascii="Arial" w:hAnsi="Arial" w:cs="Arial"/>
        </w:rPr>
        <w:t>I giorni occorrenti per le correzioni, qualora non riconducibili a cause imputabili all’A.D, saranno considerati giorni di ritardo e comporteranno l’applicazione delle penalità di cui al successivo Art.10.</w:t>
      </w:r>
    </w:p>
    <w:p w:rsidR="003E63DA" w:rsidRPr="003203E8" w:rsidRDefault="003E63DA" w:rsidP="003203E8">
      <w:pPr>
        <w:rPr>
          <w:rFonts w:ascii="Arial" w:hAnsi="Arial" w:cs="Arial"/>
        </w:rPr>
      </w:pPr>
      <w:r w:rsidRPr="003203E8">
        <w:rPr>
          <w:rFonts w:ascii="Arial" w:hAnsi="Arial" w:cs="Arial"/>
        </w:rPr>
        <w:t>A seguito della validazione dell’EA, o trascorso il termine previsto in assenza di comunicazioni da parte di quest’ultimo, l’OCC provvederà, entro un massimo di 20 (venti) giorni, al completamento delle attività di Screening.</w:t>
      </w:r>
    </w:p>
    <w:p w:rsidR="003E63DA" w:rsidRPr="003203E8" w:rsidRDefault="003E63DA" w:rsidP="003203E8">
      <w:pPr>
        <w:spacing w:after="240"/>
        <w:rPr>
          <w:rFonts w:ascii="Arial" w:hAnsi="Arial" w:cs="Arial"/>
          <w:b/>
        </w:rPr>
      </w:pPr>
      <w:r w:rsidRPr="003203E8">
        <w:rPr>
          <w:rFonts w:ascii="Arial" w:hAnsi="Arial" w:cs="Arial"/>
        </w:rPr>
        <w:t xml:space="preserve">L’OCC potrà comunque richiedere all’EA la verifica dei dati forniti dal Contraente e il loro completamento con gli elementi identificativi CM-03, di gestione GM-02 e/o tecnico amministrativi L07 (solo per le liste estere), per assicurare la corretta attività </w:t>
      </w:r>
      <w:proofErr w:type="spellStart"/>
      <w:r w:rsidRPr="003203E8">
        <w:rPr>
          <w:rFonts w:ascii="Arial" w:hAnsi="Arial" w:cs="Arial"/>
        </w:rPr>
        <w:t>codificativa</w:t>
      </w:r>
      <w:proofErr w:type="spellEnd"/>
      <w:r w:rsidRPr="003203E8">
        <w:rPr>
          <w:rFonts w:ascii="Arial" w:hAnsi="Arial" w:cs="Arial"/>
        </w:rPr>
        <w:t>.</w:t>
      </w:r>
    </w:p>
    <w:p w:rsidR="003E63DA" w:rsidRPr="001D2632" w:rsidRDefault="003E63DA" w:rsidP="001D2632">
      <w:pPr>
        <w:pStyle w:val="Titolo2"/>
        <w:rPr>
          <w:rFonts w:ascii="Arial" w:hAnsi="Arial" w:cs="Arial"/>
          <w:b/>
          <w:color w:val="auto"/>
          <w:sz w:val="24"/>
          <w:szCs w:val="24"/>
        </w:rPr>
      </w:pPr>
      <w:r w:rsidRPr="001D2632">
        <w:rPr>
          <w:rFonts w:ascii="Arial" w:hAnsi="Arial" w:cs="Arial"/>
          <w:b/>
          <w:color w:val="auto"/>
          <w:sz w:val="24"/>
          <w:szCs w:val="24"/>
        </w:rPr>
        <w:t>Art. 4 (Liste di Codifica)</w:t>
      </w:r>
    </w:p>
    <w:p w:rsidR="003E63DA" w:rsidRPr="003203E8" w:rsidRDefault="003E63DA" w:rsidP="003203E8">
      <w:pPr>
        <w:rPr>
          <w:rFonts w:ascii="Arial" w:hAnsi="Arial" w:cs="Arial"/>
        </w:rPr>
      </w:pPr>
      <w:r w:rsidRPr="003203E8">
        <w:rPr>
          <w:rFonts w:ascii="Arial" w:hAnsi="Arial" w:cs="Arial"/>
        </w:rPr>
        <w:t xml:space="preserve">Non oltre 20 (venti) giorni dalla ricezione dell’esito dello Screening di cui all’Art. 3, per gli articoli non codificati </w:t>
      </w:r>
      <w:r w:rsidRPr="003203E8">
        <w:rPr>
          <w:rFonts w:ascii="Arial" w:hAnsi="Arial" w:cs="Arial"/>
          <w:b/>
        </w:rPr>
        <w:t>(nota 4)</w:t>
      </w:r>
      <w:r w:rsidRPr="003203E8">
        <w:rPr>
          <w:rFonts w:ascii="Arial" w:hAnsi="Arial" w:cs="Arial"/>
        </w:rPr>
        <w:t>,</w:t>
      </w:r>
      <w:r w:rsidRPr="003203E8">
        <w:rPr>
          <w:rFonts w:ascii="Arial" w:hAnsi="Arial" w:cs="Arial"/>
          <w:b/>
          <w:color w:val="7030A0"/>
        </w:rPr>
        <w:t xml:space="preserve"> </w:t>
      </w:r>
      <w:r w:rsidRPr="003203E8">
        <w:rPr>
          <w:rFonts w:ascii="Arial" w:hAnsi="Arial" w:cs="Arial"/>
        </w:rPr>
        <w:t>il Contraente dovrà compilare ed inviare all’EA e all’OCC, tramite SIAC, la SPLC con i part number, i relativi CAB e per gli articoli nazionali le proposte di schede CM-03 e GM-02, mentre per gli articoli di origine estera le relative schede L07 (queste ultime compilate obbligatoriamente in lingua inglese e con allegata la necessaria documentazione tecnica).</w:t>
      </w:r>
    </w:p>
    <w:p w:rsidR="003E63DA" w:rsidRPr="003203E8" w:rsidRDefault="003E63DA" w:rsidP="003203E8">
      <w:pPr>
        <w:rPr>
          <w:rFonts w:ascii="Arial" w:hAnsi="Arial" w:cs="Arial"/>
        </w:rPr>
      </w:pPr>
      <w:r w:rsidRPr="003203E8">
        <w:rPr>
          <w:rFonts w:ascii="Arial" w:hAnsi="Arial" w:cs="Arial"/>
        </w:rPr>
        <w:t xml:space="preserve">L’EA, responsabile dal punto di vista tecnico della rispondenza al contratto </w:t>
      </w:r>
      <w:r w:rsidRPr="003203E8">
        <w:rPr>
          <w:rFonts w:ascii="Arial" w:hAnsi="Arial" w:cs="Arial"/>
          <w:b/>
        </w:rPr>
        <w:t>(nota 2)</w:t>
      </w:r>
      <w:r w:rsidRPr="003203E8">
        <w:rPr>
          <w:rFonts w:ascii="Arial" w:hAnsi="Arial" w:cs="Arial"/>
        </w:rPr>
        <w:t xml:space="preserve"> dei dati codificativi (liste e articoli), potrà intervenire entro </w:t>
      </w:r>
      <w:r w:rsidR="003B4562" w:rsidRPr="003203E8">
        <w:rPr>
          <w:rFonts w:ascii="Arial" w:hAnsi="Arial" w:cs="Arial"/>
          <w:b/>
        </w:rPr>
        <w:t>15</w:t>
      </w:r>
      <w:r w:rsidR="003B4562" w:rsidRPr="003203E8">
        <w:rPr>
          <w:rFonts w:ascii="Arial" w:hAnsi="Arial" w:cs="Arial"/>
        </w:rPr>
        <w:t xml:space="preserve"> (quindici) </w:t>
      </w:r>
      <w:r w:rsidRPr="003203E8">
        <w:rPr>
          <w:rFonts w:ascii="Arial" w:hAnsi="Arial" w:cs="Arial"/>
        </w:rPr>
        <w:t xml:space="preserve">giorni </w:t>
      </w:r>
      <w:r w:rsidRPr="003203E8">
        <w:rPr>
          <w:rFonts w:ascii="Arial" w:hAnsi="Arial" w:cs="Arial"/>
          <w:b/>
        </w:rPr>
        <w:t>(nota 3)</w:t>
      </w:r>
      <w:r w:rsidRPr="003203E8">
        <w:rPr>
          <w:rFonts w:ascii="Arial" w:hAnsi="Arial" w:cs="Arial"/>
        </w:rPr>
        <w:t xml:space="preserve"> per validare o per richiedere al Contraente le modifiche necessarie al soddisfacimento del requisito contrattuale.</w:t>
      </w:r>
    </w:p>
    <w:p w:rsidR="003E63DA" w:rsidRPr="003203E8" w:rsidRDefault="003E63DA" w:rsidP="003203E8">
      <w:pPr>
        <w:rPr>
          <w:rFonts w:ascii="Arial" w:hAnsi="Arial" w:cs="Arial"/>
        </w:rPr>
      </w:pPr>
      <w:r w:rsidRPr="003203E8">
        <w:rPr>
          <w:rFonts w:ascii="Arial" w:hAnsi="Arial" w:cs="Arial"/>
        </w:rPr>
        <w:t>Le modifiche richieste dovranno essere effettuate dal Contraente entro il termine massimo di 5 (cinque) giorni decorrenti dalla data della richiesta.</w:t>
      </w:r>
    </w:p>
    <w:p w:rsidR="003E63DA" w:rsidRPr="003203E8" w:rsidRDefault="003E63DA" w:rsidP="003203E8">
      <w:pPr>
        <w:rPr>
          <w:rFonts w:ascii="Arial" w:hAnsi="Arial" w:cs="Arial"/>
        </w:rPr>
      </w:pPr>
      <w:r w:rsidRPr="003203E8">
        <w:rPr>
          <w:rFonts w:ascii="Arial" w:hAnsi="Arial" w:cs="Arial"/>
        </w:rPr>
        <w:t>Queste modifiche dovranno poi essere rivalidate dall’EA entro un massimo di 5 (cinque) giorni.</w:t>
      </w:r>
    </w:p>
    <w:p w:rsidR="003E63DA" w:rsidRPr="003203E8" w:rsidRDefault="003E63DA" w:rsidP="003203E8">
      <w:pPr>
        <w:rPr>
          <w:rFonts w:ascii="Arial" w:hAnsi="Arial" w:cs="Arial"/>
        </w:rPr>
      </w:pPr>
      <w:r w:rsidRPr="003203E8">
        <w:rPr>
          <w:rFonts w:ascii="Arial" w:hAnsi="Arial" w:cs="Arial"/>
        </w:rPr>
        <w:t xml:space="preserve">Tale processo può essere reiterato sino a quando l’EA non ritenga soddisfatto il requisito contrattuale. </w:t>
      </w:r>
    </w:p>
    <w:p w:rsidR="003E63DA" w:rsidRPr="003203E8" w:rsidRDefault="003E63DA" w:rsidP="003203E8">
      <w:pPr>
        <w:rPr>
          <w:rFonts w:ascii="Arial" w:hAnsi="Arial" w:cs="Arial"/>
        </w:rPr>
      </w:pPr>
      <w:r w:rsidRPr="003203E8">
        <w:rPr>
          <w:rFonts w:ascii="Arial" w:hAnsi="Arial" w:cs="Arial"/>
        </w:rPr>
        <w:t>I giorni occorrenti per le correzioni, qualora non riconducibili a cause imputabili all’A.D, saranno considerati giorni di ritardo e comporteranno l’applicazione delle penalità di cui al successivo Art.10.</w:t>
      </w:r>
    </w:p>
    <w:p w:rsidR="003E63DA" w:rsidRPr="003203E8" w:rsidRDefault="003E63DA" w:rsidP="003203E8">
      <w:pPr>
        <w:rPr>
          <w:rFonts w:ascii="Arial" w:hAnsi="Arial" w:cs="Arial"/>
        </w:rPr>
      </w:pPr>
      <w:r w:rsidRPr="003203E8">
        <w:rPr>
          <w:rFonts w:ascii="Arial" w:hAnsi="Arial" w:cs="Arial"/>
        </w:rPr>
        <w:t>A seguito della validazione da parte dell’EA, o trascorso il termine previsto in assenza di comunicazioni da parte di quest’ultimo, l’OCC provvederà, entro un massimo di 20 (venti) giorni, al completamento delle attività di Codifica con l’assegnazione dei NATO STOCK NUMBERS (NSN), dandone informazione all’EA, al Contraente e all’EL/OC di Forza Armata.</w:t>
      </w:r>
    </w:p>
    <w:p w:rsidR="003E63DA" w:rsidRPr="003203E8" w:rsidRDefault="003E63DA" w:rsidP="003203E8">
      <w:pPr>
        <w:spacing w:after="240"/>
        <w:rPr>
          <w:rFonts w:ascii="Arial" w:hAnsi="Arial" w:cs="Arial"/>
          <w:b/>
        </w:rPr>
      </w:pPr>
      <w:r w:rsidRPr="003203E8">
        <w:rPr>
          <w:rFonts w:ascii="Arial" w:hAnsi="Arial" w:cs="Arial"/>
        </w:rPr>
        <w:t xml:space="preserve">L’OCC potrà comunque richiedere all’EA la verifica dei dati forniti dal Contraente e il loro completamento con gli elementi identificativi CM-03, di gestione GM-02 e/o tecnico amministrativi L07 (solo per le liste estere), per assicurare la corretta attività </w:t>
      </w:r>
      <w:proofErr w:type="spellStart"/>
      <w:r w:rsidRPr="003203E8">
        <w:rPr>
          <w:rFonts w:ascii="Arial" w:hAnsi="Arial" w:cs="Arial"/>
        </w:rPr>
        <w:t>codificativa</w:t>
      </w:r>
      <w:proofErr w:type="spellEnd"/>
      <w:r w:rsidRPr="003203E8">
        <w:rPr>
          <w:rFonts w:ascii="Arial" w:hAnsi="Arial" w:cs="Arial"/>
        </w:rPr>
        <w:t>.</w:t>
      </w:r>
    </w:p>
    <w:p w:rsidR="003E63DA" w:rsidRPr="001D2632" w:rsidRDefault="003E63DA" w:rsidP="001D2632">
      <w:pPr>
        <w:pStyle w:val="Titolo2"/>
        <w:rPr>
          <w:rFonts w:ascii="Arial" w:hAnsi="Arial" w:cs="Arial"/>
          <w:b/>
          <w:color w:val="auto"/>
          <w:sz w:val="24"/>
          <w:szCs w:val="24"/>
        </w:rPr>
      </w:pPr>
      <w:r w:rsidRPr="001D2632">
        <w:rPr>
          <w:rFonts w:ascii="Arial" w:hAnsi="Arial" w:cs="Arial"/>
          <w:b/>
          <w:color w:val="auto"/>
          <w:sz w:val="24"/>
          <w:szCs w:val="24"/>
        </w:rPr>
        <w:t>Art. 5 (Liste di Screening e Codifica)</w:t>
      </w:r>
    </w:p>
    <w:p w:rsidR="003E63DA" w:rsidRPr="003203E8" w:rsidRDefault="003E63DA" w:rsidP="003203E8">
      <w:pPr>
        <w:rPr>
          <w:rFonts w:ascii="Arial" w:hAnsi="Arial" w:cs="Arial"/>
        </w:rPr>
      </w:pPr>
      <w:r w:rsidRPr="003203E8">
        <w:rPr>
          <w:rFonts w:ascii="Arial" w:hAnsi="Arial" w:cs="Arial"/>
        </w:rPr>
        <w:t xml:space="preserve">Su richiesta dell’EA, in alternativa, il Contraente potrà presentare contestualmente le liste di Screening con la richiesta di Codifica (assegnazione dei NSN) non oltre 30 (trenta) giorni dalla approvazione della SPLC di cui all’Art.2. </w:t>
      </w:r>
    </w:p>
    <w:p w:rsidR="003E63DA" w:rsidRPr="003203E8" w:rsidRDefault="003E63DA" w:rsidP="003203E8">
      <w:pPr>
        <w:rPr>
          <w:rFonts w:ascii="Arial" w:hAnsi="Arial" w:cs="Arial"/>
        </w:rPr>
      </w:pPr>
      <w:r w:rsidRPr="003203E8">
        <w:rPr>
          <w:rFonts w:ascii="Arial" w:hAnsi="Arial" w:cs="Arial"/>
        </w:rPr>
        <w:t xml:space="preserve">Le liste dovranno contenere </w:t>
      </w:r>
      <w:proofErr w:type="gramStart"/>
      <w:r w:rsidRPr="003203E8">
        <w:rPr>
          <w:rFonts w:ascii="Arial" w:hAnsi="Arial" w:cs="Arial"/>
        </w:rPr>
        <w:t>la  SPLC</w:t>
      </w:r>
      <w:proofErr w:type="gramEnd"/>
      <w:r w:rsidRPr="003203E8">
        <w:rPr>
          <w:rFonts w:ascii="Arial" w:hAnsi="Arial" w:cs="Arial"/>
        </w:rPr>
        <w:t xml:space="preserve"> con i </w:t>
      </w:r>
      <w:r w:rsidRPr="003203E8">
        <w:rPr>
          <w:rFonts w:ascii="Arial" w:hAnsi="Arial" w:cs="Arial"/>
          <w:i/>
        </w:rPr>
        <w:t>part number</w:t>
      </w:r>
      <w:r w:rsidRPr="003203E8">
        <w:rPr>
          <w:rFonts w:ascii="Arial" w:hAnsi="Arial" w:cs="Arial"/>
        </w:rPr>
        <w:t xml:space="preserve"> e i relativi CAB e per gli articoli nazionali  le proposte di schede CM-03 e GM-02, mentre per gli articoli di origine estera le relative schede L07 (quest’ultime compilate obbligatoriamente in lingua inglese e con allegata la necessaria documentazione tecnica).</w:t>
      </w:r>
    </w:p>
    <w:p w:rsidR="003E63DA" w:rsidRPr="003203E8" w:rsidRDefault="003E63DA" w:rsidP="003203E8">
      <w:pPr>
        <w:rPr>
          <w:rFonts w:ascii="Arial" w:hAnsi="Arial" w:cs="Arial"/>
        </w:rPr>
      </w:pPr>
      <w:r w:rsidRPr="003203E8">
        <w:rPr>
          <w:rFonts w:ascii="Arial" w:hAnsi="Arial" w:cs="Arial"/>
        </w:rPr>
        <w:t>Le liste dovranno essere presentate anche per gli articoli che risultassero già codificati.</w:t>
      </w:r>
    </w:p>
    <w:p w:rsidR="003E63DA" w:rsidRPr="003203E8" w:rsidRDefault="003E63DA" w:rsidP="003203E8">
      <w:pPr>
        <w:rPr>
          <w:rFonts w:ascii="Arial" w:hAnsi="Arial" w:cs="Arial"/>
        </w:rPr>
      </w:pPr>
      <w:r w:rsidRPr="003203E8">
        <w:rPr>
          <w:rFonts w:ascii="Arial" w:hAnsi="Arial" w:cs="Arial"/>
        </w:rPr>
        <w:t xml:space="preserve">L’EA, responsabile dal punto di vista tecnico della rispondenza al contratto </w:t>
      </w:r>
      <w:r w:rsidRPr="003203E8">
        <w:rPr>
          <w:rFonts w:ascii="Arial" w:hAnsi="Arial" w:cs="Arial"/>
          <w:b/>
        </w:rPr>
        <w:t>(nota 2)</w:t>
      </w:r>
      <w:r w:rsidRPr="003203E8">
        <w:rPr>
          <w:rFonts w:ascii="Arial" w:hAnsi="Arial" w:cs="Arial"/>
        </w:rPr>
        <w:t xml:space="preserve"> dei dati codificativi (liste e articoli), potrà intervenire entro </w:t>
      </w:r>
      <w:r w:rsidR="003B4562" w:rsidRPr="003203E8">
        <w:rPr>
          <w:rFonts w:ascii="Arial" w:hAnsi="Arial" w:cs="Arial"/>
          <w:b/>
        </w:rPr>
        <w:t>15</w:t>
      </w:r>
      <w:r w:rsidR="003B4562" w:rsidRPr="003203E8">
        <w:rPr>
          <w:rFonts w:ascii="Arial" w:hAnsi="Arial" w:cs="Arial"/>
        </w:rPr>
        <w:t xml:space="preserve"> (</w:t>
      </w:r>
      <w:proofErr w:type="gramStart"/>
      <w:r w:rsidR="003B4562" w:rsidRPr="003203E8">
        <w:rPr>
          <w:rFonts w:ascii="Arial" w:hAnsi="Arial" w:cs="Arial"/>
        </w:rPr>
        <w:t xml:space="preserve">quindici) </w:t>
      </w:r>
      <w:r w:rsidRPr="003203E8">
        <w:rPr>
          <w:rFonts w:ascii="Arial" w:hAnsi="Arial" w:cs="Arial"/>
        </w:rPr>
        <w:t xml:space="preserve"> giorni</w:t>
      </w:r>
      <w:proofErr w:type="gramEnd"/>
      <w:r w:rsidRPr="003203E8">
        <w:rPr>
          <w:rFonts w:ascii="Arial" w:hAnsi="Arial" w:cs="Arial"/>
        </w:rPr>
        <w:t xml:space="preserve"> </w:t>
      </w:r>
      <w:r w:rsidRPr="003203E8">
        <w:rPr>
          <w:rFonts w:ascii="Arial" w:hAnsi="Arial" w:cs="Arial"/>
          <w:b/>
        </w:rPr>
        <w:t>(nota 3)</w:t>
      </w:r>
      <w:r w:rsidRPr="003203E8">
        <w:rPr>
          <w:rFonts w:ascii="Arial" w:hAnsi="Arial" w:cs="Arial"/>
        </w:rPr>
        <w:t xml:space="preserve"> per </w:t>
      </w:r>
      <w:r w:rsidRPr="003203E8">
        <w:rPr>
          <w:rFonts w:ascii="Arial" w:hAnsi="Arial" w:cs="Arial"/>
        </w:rPr>
        <w:lastRenderedPageBreak/>
        <w:t>validare o per richiedere al Contraente le modifiche necessarie al soddisfacimento del requisito contrattuale.</w:t>
      </w:r>
    </w:p>
    <w:p w:rsidR="003E63DA" w:rsidRPr="003203E8" w:rsidRDefault="003E63DA" w:rsidP="003203E8">
      <w:pPr>
        <w:rPr>
          <w:rFonts w:ascii="Arial" w:hAnsi="Arial" w:cs="Arial"/>
        </w:rPr>
      </w:pPr>
      <w:r w:rsidRPr="003203E8">
        <w:rPr>
          <w:rFonts w:ascii="Arial" w:hAnsi="Arial" w:cs="Arial"/>
        </w:rPr>
        <w:t>Le modifiche richieste dovranno essere effettuate dal Contraente entro il termine massimo di 5 (cinque) giorni decorrenti dalla data della richiesta.</w:t>
      </w:r>
    </w:p>
    <w:p w:rsidR="003E63DA" w:rsidRPr="003203E8" w:rsidRDefault="003E63DA" w:rsidP="003203E8">
      <w:pPr>
        <w:rPr>
          <w:rFonts w:ascii="Arial" w:hAnsi="Arial" w:cs="Arial"/>
        </w:rPr>
      </w:pPr>
      <w:r w:rsidRPr="003203E8">
        <w:rPr>
          <w:rFonts w:ascii="Arial" w:hAnsi="Arial" w:cs="Arial"/>
        </w:rPr>
        <w:t>Queste modifiche dovranno poi essere rivalidate dall’EA entro un massimo di 5 (cinque) giorni.</w:t>
      </w:r>
    </w:p>
    <w:p w:rsidR="003E63DA" w:rsidRPr="003203E8" w:rsidRDefault="003E63DA" w:rsidP="003203E8">
      <w:pPr>
        <w:rPr>
          <w:rFonts w:ascii="Arial" w:hAnsi="Arial" w:cs="Arial"/>
        </w:rPr>
      </w:pPr>
      <w:r w:rsidRPr="003203E8">
        <w:rPr>
          <w:rFonts w:ascii="Arial" w:hAnsi="Arial" w:cs="Arial"/>
        </w:rPr>
        <w:t>Tale processo può essere reiterato sino a quando l’EA non ritenga soddisfatto il requisito contrattuale.</w:t>
      </w:r>
    </w:p>
    <w:p w:rsidR="003E63DA" w:rsidRPr="003203E8" w:rsidRDefault="003E63DA" w:rsidP="003203E8">
      <w:pPr>
        <w:rPr>
          <w:rFonts w:ascii="Arial" w:hAnsi="Arial" w:cs="Arial"/>
        </w:rPr>
      </w:pPr>
      <w:r w:rsidRPr="003203E8">
        <w:rPr>
          <w:rFonts w:ascii="Arial" w:hAnsi="Arial" w:cs="Arial"/>
        </w:rPr>
        <w:t>I giorni occorrenti per le correzioni, qualora non riconducibili a cause imputabili all’A.D, saranno considerati giorni di ritardo e comporteranno l’applicazione delle penalità di cui al successivo Art.10.</w:t>
      </w:r>
    </w:p>
    <w:p w:rsidR="003E63DA" w:rsidRPr="003203E8" w:rsidRDefault="003E63DA" w:rsidP="003203E8">
      <w:pPr>
        <w:rPr>
          <w:rFonts w:ascii="Arial" w:hAnsi="Arial" w:cs="Arial"/>
        </w:rPr>
      </w:pPr>
      <w:r w:rsidRPr="003203E8">
        <w:rPr>
          <w:rFonts w:ascii="Arial" w:hAnsi="Arial" w:cs="Arial"/>
        </w:rPr>
        <w:t>A seguito della validazione da parte dell’EA, o trascorso il termine previsto in assenza di comunicazioni da parte di quest’ultimo, l’OCC provvederà, entro un massimo di 20 (venti) giorni, al completamento delle attività di Codifica con l’assegnazione dei NATO STOCK NUMBERS (NSN), dandone informazione all’EA, al Contraente e all’EL/OC di Forza Armata.</w:t>
      </w:r>
    </w:p>
    <w:p w:rsidR="003E63DA" w:rsidRPr="003203E8" w:rsidRDefault="003E63DA" w:rsidP="003203E8">
      <w:pPr>
        <w:spacing w:after="240"/>
        <w:rPr>
          <w:rFonts w:ascii="Arial" w:hAnsi="Arial" w:cs="Arial"/>
          <w:b/>
        </w:rPr>
      </w:pPr>
      <w:r w:rsidRPr="003203E8">
        <w:rPr>
          <w:rFonts w:ascii="Arial" w:hAnsi="Arial" w:cs="Arial"/>
        </w:rPr>
        <w:t xml:space="preserve">L’OCC potrà comunque richiedere all’EA la verifica dei dati forniti dal Contraente e il loro completamento con gli elementi identificativi CM-03, di gestione GM-02 e/o tecnico amministrativi L07 (solo per le liste estere), per assicurare la corretta attività </w:t>
      </w:r>
      <w:proofErr w:type="spellStart"/>
      <w:r w:rsidRPr="003203E8">
        <w:rPr>
          <w:rFonts w:ascii="Arial" w:hAnsi="Arial" w:cs="Arial"/>
        </w:rPr>
        <w:t>codificativa</w:t>
      </w:r>
      <w:proofErr w:type="spellEnd"/>
      <w:r w:rsidRPr="003203E8">
        <w:rPr>
          <w:rFonts w:ascii="Arial" w:hAnsi="Arial" w:cs="Arial"/>
        </w:rPr>
        <w:t>.</w:t>
      </w:r>
    </w:p>
    <w:p w:rsidR="003E63DA" w:rsidRPr="001D2632" w:rsidRDefault="003E63DA" w:rsidP="001D2632">
      <w:pPr>
        <w:pStyle w:val="Titolo2"/>
        <w:rPr>
          <w:rFonts w:ascii="Arial" w:hAnsi="Arial" w:cs="Arial"/>
          <w:b/>
          <w:color w:val="auto"/>
          <w:sz w:val="24"/>
          <w:szCs w:val="24"/>
        </w:rPr>
      </w:pPr>
      <w:r w:rsidRPr="001D2632">
        <w:rPr>
          <w:rFonts w:ascii="Arial" w:hAnsi="Arial" w:cs="Arial"/>
          <w:b/>
          <w:color w:val="auto"/>
          <w:sz w:val="24"/>
          <w:szCs w:val="24"/>
        </w:rPr>
        <w:t>Art. 6 (Codificazione di origine estera)</w:t>
      </w:r>
    </w:p>
    <w:p w:rsidR="003E63DA" w:rsidRPr="003203E8" w:rsidRDefault="003E63DA" w:rsidP="003203E8">
      <w:pPr>
        <w:rPr>
          <w:rFonts w:ascii="Arial" w:hAnsi="Arial" w:cs="Arial"/>
        </w:rPr>
      </w:pPr>
      <w:r w:rsidRPr="003203E8">
        <w:rPr>
          <w:rFonts w:ascii="Arial" w:hAnsi="Arial" w:cs="Arial"/>
        </w:rPr>
        <w:t>Per consentire all’AD la gestione degli articoli di origine estera non codificati, e nell’attesa di completare l’iter codificativo tramite l’ufficio estero competente, l’OCC assegnerà numeri di codificazione provvisori che saranno successivamente sostituiti da quelli definitivi (assegnati dall’ufficio estero competente).</w:t>
      </w:r>
    </w:p>
    <w:p w:rsidR="003E63DA" w:rsidRPr="003203E8" w:rsidRDefault="003E63DA" w:rsidP="003203E8">
      <w:pPr>
        <w:rPr>
          <w:rFonts w:ascii="Arial" w:hAnsi="Arial" w:cs="Arial"/>
        </w:rPr>
      </w:pPr>
      <w:r w:rsidRPr="003203E8">
        <w:rPr>
          <w:rFonts w:ascii="Arial" w:hAnsi="Arial" w:cs="Arial"/>
        </w:rPr>
        <w:t>In questo caso lo svincolo della cauzione definitiva è subordinato alla risoluzione delle discrepanze dei dati codificativi forniti dal Contraente, eventualmente rilevate dagli uffici esteri competenti.</w:t>
      </w:r>
    </w:p>
    <w:p w:rsidR="003E63DA" w:rsidRPr="003203E8" w:rsidRDefault="003E63DA" w:rsidP="003203E8">
      <w:pPr>
        <w:rPr>
          <w:rFonts w:ascii="Arial" w:hAnsi="Arial" w:cs="Arial"/>
        </w:rPr>
      </w:pPr>
      <w:r w:rsidRPr="003203E8">
        <w:rPr>
          <w:rFonts w:ascii="Arial" w:hAnsi="Arial" w:cs="Arial"/>
        </w:rPr>
        <w:t>L’OCC comunicherà all’EA e per conoscenza al Contraente i numeri di codificazione definitivi assegnati o le anomalie verificatesi.</w:t>
      </w:r>
    </w:p>
    <w:p w:rsidR="003E63DA" w:rsidRPr="003203E8" w:rsidRDefault="003E63DA" w:rsidP="003203E8">
      <w:pPr>
        <w:spacing w:after="240"/>
        <w:rPr>
          <w:rFonts w:ascii="Arial" w:hAnsi="Arial" w:cs="Arial"/>
          <w:b/>
        </w:rPr>
      </w:pPr>
      <w:r w:rsidRPr="003203E8">
        <w:rPr>
          <w:rFonts w:ascii="Arial" w:hAnsi="Arial" w:cs="Arial"/>
        </w:rPr>
        <w:t>L’EA comunicherà formalmente le anomalie al Contraente richiedendo la correzione delle stesse.</w:t>
      </w:r>
    </w:p>
    <w:p w:rsidR="003E63DA" w:rsidRPr="001D2632" w:rsidRDefault="003E63DA" w:rsidP="001D2632">
      <w:pPr>
        <w:pStyle w:val="Titolo2"/>
        <w:rPr>
          <w:rFonts w:ascii="Arial" w:hAnsi="Arial" w:cs="Arial"/>
          <w:b/>
          <w:color w:val="auto"/>
          <w:sz w:val="24"/>
          <w:szCs w:val="24"/>
        </w:rPr>
      </w:pPr>
      <w:r w:rsidRPr="001D2632">
        <w:rPr>
          <w:rFonts w:ascii="Arial" w:hAnsi="Arial" w:cs="Arial"/>
          <w:b/>
          <w:color w:val="auto"/>
          <w:sz w:val="24"/>
          <w:szCs w:val="24"/>
        </w:rPr>
        <w:t>Art. 7 (Flussi Dati e Corrispondenza)</w:t>
      </w:r>
    </w:p>
    <w:p w:rsidR="003E63DA" w:rsidRPr="003203E8" w:rsidRDefault="003E63DA" w:rsidP="003203E8">
      <w:pPr>
        <w:spacing w:after="240"/>
        <w:rPr>
          <w:rFonts w:ascii="Arial" w:hAnsi="Arial" w:cs="Arial"/>
          <w:strike/>
        </w:rPr>
      </w:pPr>
      <w:r w:rsidRPr="003203E8">
        <w:rPr>
          <w:rFonts w:ascii="Arial" w:hAnsi="Arial" w:cs="Arial"/>
        </w:rPr>
        <w:t>L’immissione, lo scambio dei dati e le comunicazioni relative alla codificazione, a meno di diversa disposizione contrattuale, dovranno avvenire per via telematica tramite SIAC.</w:t>
      </w:r>
    </w:p>
    <w:p w:rsidR="003E63DA" w:rsidRPr="001D2632" w:rsidRDefault="003E63DA" w:rsidP="001D2632">
      <w:pPr>
        <w:pStyle w:val="Titolo2"/>
        <w:rPr>
          <w:rFonts w:ascii="Arial" w:hAnsi="Arial" w:cs="Arial"/>
          <w:b/>
          <w:color w:val="auto"/>
          <w:sz w:val="24"/>
          <w:szCs w:val="24"/>
        </w:rPr>
      </w:pPr>
      <w:r w:rsidRPr="001D2632">
        <w:rPr>
          <w:rFonts w:ascii="Arial" w:hAnsi="Arial" w:cs="Arial"/>
          <w:b/>
          <w:color w:val="auto"/>
          <w:sz w:val="24"/>
          <w:szCs w:val="24"/>
        </w:rPr>
        <w:t>Art. 8 (Norme in vigore)</w:t>
      </w:r>
    </w:p>
    <w:p w:rsidR="003E63DA" w:rsidRPr="003203E8" w:rsidRDefault="003E63DA" w:rsidP="003203E8">
      <w:pPr>
        <w:spacing w:after="240"/>
        <w:rPr>
          <w:rFonts w:ascii="Arial" w:hAnsi="Arial" w:cs="Arial"/>
          <w:b/>
        </w:rPr>
      </w:pPr>
      <w:r w:rsidRPr="003203E8">
        <w:rPr>
          <w:rFonts w:ascii="Arial" w:hAnsi="Arial" w:cs="Arial"/>
        </w:rPr>
        <w:t xml:space="preserve">Le norme procedurali sull’attività codificativa, per ciascuna tipologia di atto negoziale, sono contenute nella SGD-G-035 - Edizione 2017 “Guida al Sistema di Codificazione NATO” emanata da SEGREDIFESA e disponibile sul sito ufficiale del </w:t>
      </w:r>
      <w:hyperlink r:id="rId9" w:history="1">
        <w:r w:rsidR="00BC372A">
          <w:rPr>
            <w:rStyle w:val="Collegamentoipertestuale"/>
            <w:rFonts w:ascii="Arial" w:hAnsi="Arial" w:cs="Arial"/>
            <w:color w:val="365F91"/>
            <w:u w:val="none"/>
          </w:rPr>
          <w:t>SIAC www.siac.difesa.it</w:t>
        </w:r>
      </w:hyperlink>
      <w:r w:rsidRPr="003203E8">
        <w:rPr>
          <w:rFonts w:ascii="Arial" w:hAnsi="Arial" w:cs="Arial"/>
        </w:rPr>
        <w:t>, nella quale sono presenti informazioni e disposizioni di dettaglio su come presentare le liste, i dati identificativi CM-03, di gestione GM-02 e sulla modalità di predisposizione dei dati connessi alla presentazione dei codici a barre CAB e dei dati tecnico-amministrativi L07.</w:t>
      </w:r>
    </w:p>
    <w:p w:rsidR="003E63DA" w:rsidRPr="001D2632" w:rsidRDefault="003E63DA" w:rsidP="001D2632">
      <w:pPr>
        <w:pStyle w:val="Titolo2"/>
        <w:rPr>
          <w:rFonts w:ascii="Arial" w:hAnsi="Arial" w:cs="Arial"/>
          <w:b/>
          <w:color w:val="auto"/>
          <w:sz w:val="24"/>
          <w:szCs w:val="24"/>
        </w:rPr>
      </w:pPr>
      <w:r w:rsidRPr="001D2632">
        <w:rPr>
          <w:rFonts w:ascii="Arial" w:hAnsi="Arial" w:cs="Arial"/>
          <w:b/>
          <w:color w:val="auto"/>
          <w:sz w:val="24"/>
          <w:szCs w:val="24"/>
        </w:rPr>
        <w:t>Art. 9 (Collaudo e Accettazione d’Urgenza)</w:t>
      </w:r>
    </w:p>
    <w:p w:rsidR="003E63DA" w:rsidRPr="003203E8" w:rsidRDefault="003E63DA" w:rsidP="003203E8">
      <w:pPr>
        <w:rPr>
          <w:rFonts w:ascii="Arial" w:hAnsi="Arial" w:cs="Arial"/>
        </w:rPr>
      </w:pPr>
      <w:r w:rsidRPr="003203E8">
        <w:rPr>
          <w:rFonts w:ascii="Arial" w:hAnsi="Arial" w:cs="Arial"/>
        </w:rPr>
        <w:t>La tassatività dei termini di approntamento al collaudo degli articoli in fornitura prescinde dal completamento dell’iter di codificazione.</w:t>
      </w:r>
    </w:p>
    <w:p w:rsidR="003E63DA" w:rsidRPr="003203E8" w:rsidRDefault="003E63DA" w:rsidP="003203E8">
      <w:pPr>
        <w:spacing w:after="240"/>
        <w:rPr>
          <w:rFonts w:ascii="Arial" w:hAnsi="Arial" w:cs="Arial"/>
        </w:rPr>
      </w:pPr>
      <w:r w:rsidRPr="003203E8">
        <w:rPr>
          <w:rFonts w:ascii="Arial" w:hAnsi="Arial" w:cs="Arial"/>
        </w:rPr>
        <w:t>L’EA/EC può disporre, in assenza della conclusione dell’iter codificativo, il collaudo dei materiali e procedere all’eventuale accettazione degli stessi con riserva, così da poterli prontamente utilizzare,</w:t>
      </w:r>
      <w:r w:rsidRPr="003203E8">
        <w:rPr>
          <w:rFonts w:ascii="Arial" w:hAnsi="Arial" w:cs="Arial"/>
          <w:color w:val="FF0000"/>
        </w:rPr>
        <w:t xml:space="preserve"> </w:t>
      </w:r>
      <w:r w:rsidRPr="003203E8">
        <w:rPr>
          <w:rFonts w:ascii="Arial" w:hAnsi="Arial" w:cs="Arial"/>
        </w:rPr>
        <w:t>eventualmente ricorrendo alla codificazione transitoria (</w:t>
      </w:r>
      <w:r w:rsidRPr="003203E8">
        <w:rPr>
          <w:rFonts w:ascii="Arial" w:hAnsi="Arial" w:cs="Arial"/>
          <w:b/>
        </w:rPr>
        <w:t>nota 5</w:t>
      </w:r>
      <w:r w:rsidRPr="003203E8">
        <w:rPr>
          <w:rFonts w:ascii="Arial" w:hAnsi="Arial" w:cs="Arial"/>
        </w:rPr>
        <w:t>)</w:t>
      </w:r>
      <w:r w:rsidRPr="003203E8">
        <w:rPr>
          <w:rFonts w:ascii="Arial" w:hAnsi="Arial" w:cs="Arial"/>
          <w:b/>
        </w:rPr>
        <w:t>,</w:t>
      </w:r>
      <w:r w:rsidRPr="003203E8">
        <w:rPr>
          <w:rFonts w:ascii="Arial" w:hAnsi="Arial" w:cs="Arial"/>
          <w:b/>
          <w:color w:val="7030A0"/>
        </w:rPr>
        <w:t xml:space="preserve"> </w:t>
      </w:r>
      <w:r w:rsidRPr="003203E8">
        <w:rPr>
          <w:rFonts w:ascii="Arial" w:hAnsi="Arial" w:cs="Arial"/>
        </w:rPr>
        <w:lastRenderedPageBreak/>
        <w:t>fermo restando che l’attività codificativa dovrà essere svolta a compimento dei requisiti contrattuali. Il saldo del contratto potrà avvenire solo dopo la codificazione definitiva di tutti gli articoli individuati.</w:t>
      </w:r>
    </w:p>
    <w:p w:rsidR="003E63DA" w:rsidRPr="001D2632" w:rsidRDefault="003E63DA" w:rsidP="001D2632">
      <w:pPr>
        <w:pStyle w:val="Titolo2"/>
        <w:rPr>
          <w:rFonts w:ascii="Arial" w:hAnsi="Arial" w:cs="Arial"/>
          <w:b/>
          <w:color w:val="auto"/>
          <w:sz w:val="24"/>
          <w:szCs w:val="24"/>
        </w:rPr>
      </w:pPr>
      <w:r w:rsidRPr="001D2632">
        <w:rPr>
          <w:rFonts w:ascii="Arial" w:hAnsi="Arial" w:cs="Arial"/>
          <w:b/>
          <w:color w:val="auto"/>
          <w:sz w:val="24"/>
          <w:szCs w:val="24"/>
        </w:rPr>
        <w:t>Art. 10 (Penali e Garanzie)</w:t>
      </w:r>
    </w:p>
    <w:p w:rsidR="003E63DA" w:rsidRPr="003203E8" w:rsidRDefault="003E63DA" w:rsidP="003203E8">
      <w:pPr>
        <w:widowControl w:val="0"/>
        <w:tabs>
          <w:tab w:val="left" w:pos="9498"/>
        </w:tabs>
        <w:autoSpaceDE w:val="0"/>
        <w:autoSpaceDN w:val="0"/>
        <w:adjustRightInd w:val="0"/>
        <w:spacing w:before="40" w:line="254" w:lineRule="auto"/>
        <w:ind w:right="-1"/>
        <w:rPr>
          <w:rFonts w:ascii="Arial" w:hAnsi="Arial" w:cs="Arial"/>
        </w:rPr>
      </w:pPr>
      <w:r w:rsidRPr="003203E8">
        <w:rPr>
          <w:rFonts w:ascii="Arial" w:hAnsi="Arial" w:cs="Arial"/>
        </w:rPr>
        <w:t xml:space="preserve">Ai fini dell'applicazione delle penali, i termini per la presentazione delle liste SPLC con i </w:t>
      </w:r>
      <w:r w:rsidRPr="003203E8">
        <w:rPr>
          <w:rFonts w:ascii="Arial" w:hAnsi="Arial" w:cs="Arial"/>
          <w:i/>
        </w:rPr>
        <w:t>part number</w:t>
      </w:r>
      <w:r w:rsidRPr="003203E8">
        <w:rPr>
          <w:rFonts w:ascii="Arial" w:hAnsi="Arial" w:cs="Arial"/>
        </w:rPr>
        <w:t xml:space="preserve">, i </w:t>
      </w:r>
      <w:proofErr w:type="gramStart"/>
      <w:r w:rsidRPr="003203E8">
        <w:rPr>
          <w:rFonts w:ascii="Arial" w:hAnsi="Arial" w:cs="Arial"/>
        </w:rPr>
        <w:t>relativi  CAB</w:t>
      </w:r>
      <w:proofErr w:type="gramEnd"/>
      <w:r w:rsidRPr="003203E8">
        <w:rPr>
          <w:rFonts w:ascii="Arial" w:hAnsi="Arial" w:cs="Arial"/>
        </w:rPr>
        <w:t>, le schede CM-03, GM-02 e L07 di cui agli Art. 2, 3, 4, 5 saranno sommati e considerati come unico termine complessivo.</w:t>
      </w:r>
    </w:p>
    <w:p w:rsidR="003E63DA" w:rsidRPr="003203E8" w:rsidRDefault="003E63DA" w:rsidP="003203E8">
      <w:pPr>
        <w:widowControl w:val="0"/>
        <w:tabs>
          <w:tab w:val="left" w:pos="9498"/>
        </w:tabs>
        <w:autoSpaceDE w:val="0"/>
        <w:autoSpaceDN w:val="0"/>
        <w:adjustRightInd w:val="0"/>
        <w:spacing w:before="40" w:line="254" w:lineRule="auto"/>
        <w:ind w:right="-1"/>
        <w:rPr>
          <w:rFonts w:ascii="Arial" w:hAnsi="Arial" w:cs="Arial"/>
        </w:rPr>
      </w:pPr>
      <w:r w:rsidRPr="003203E8">
        <w:rPr>
          <w:rFonts w:ascii="Arial" w:hAnsi="Arial" w:cs="Arial"/>
        </w:rPr>
        <w:t>II ritardo del Contraente nell'adempimento agli obblighi di cui ai precedenti commi comporterà una penale così come disciplinato dall’Art. __ (Penali) del contratto.</w:t>
      </w:r>
    </w:p>
    <w:p w:rsidR="003E63DA" w:rsidRPr="003203E8" w:rsidRDefault="003E63DA" w:rsidP="003203E8">
      <w:pPr>
        <w:spacing w:after="4080"/>
        <w:rPr>
          <w:rFonts w:ascii="Arial" w:hAnsi="Arial" w:cs="Arial"/>
        </w:rPr>
      </w:pPr>
      <w:r w:rsidRPr="003203E8">
        <w:rPr>
          <w:rFonts w:ascii="Arial" w:hAnsi="Arial" w:cs="Arial"/>
        </w:rPr>
        <w:t>Nell’ambito della garanzia contrattuale, l’EA potrà richiedere al Contraente tutte le azioni ritenute necessarie per completare o integrare le attività codificative.</w:t>
      </w:r>
    </w:p>
    <w:p w:rsidR="003E63DA" w:rsidRPr="001D2632" w:rsidRDefault="003E63DA" w:rsidP="001D2632">
      <w:pPr>
        <w:pStyle w:val="Titolo2"/>
        <w:rPr>
          <w:rFonts w:ascii="Arial" w:hAnsi="Arial" w:cs="Arial"/>
          <w:b/>
          <w:color w:val="auto"/>
          <w:sz w:val="24"/>
          <w:szCs w:val="24"/>
        </w:rPr>
      </w:pPr>
      <w:r w:rsidRPr="001D2632">
        <w:rPr>
          <w:rFonts w:ascii="Arial" w:hAnsi="Arial" w:cs="Arial"/>
          <w:b/>
          <w:color w:val="auto"/>
          <w:sz w:val="24"/>
          <w:szCs w:val="24"/>
        </w:rPr>
        <w:t>NOTE:</w:t>
      </w:r>
    </w:p>
    <w:p w:rsidR="003E63DA" w:rsidRPr="003203E8" w:rsidRDefault="003E63DA" w:rsidP="003203E8">
      <w:pPr>
        <w:numPr>
          <w:ilvl w:val="0"/>
          <w:numId w:val="1"/>
        </w:numPr>
        <w:rPr>
          <w:rFonts w:ascii="Arial" w:hAnsi="Arial" w:cs="Arial"/>
        </w:rPr>
      </w:pPr>
      <w:r w:rsidRPr="003203E8">
        <w:rPr>
          <w:rFonts w:ascii="Arial" w:hAnsi="Arial" w:cs="Arial"/>
        </w:rPr>
        <w:t>Il termine deve essere fissato dall’Ente Appaltante.</w:t>
      </w:r>
    </w:p>
    <w:p w:rsidR="003E63DA" w:rsidRPr="003203E8" w:rsidRDefault="003E63DA" w:rsidP="003203E8">
      <w:pPr>
        <w:spacing w:after="240"/>
        <w:ind w:left="720"/>
        <w:rPr>
          <w:rFonts w:ascii="Arial" w:hAnsi="Arial" w:cs="Arial"/>
        </w:rPr>
      </w:pPr>
      <w:r w:rsidRPr="003203E8">
        <w:rPr>
          <w:rFonts w:ascii="Arial" w:hAnsi="Arial" w:cs="Arial"/>
        </w:rPr>
        <w:t>Per i “programmi di sviluppo” i tempi decorrono dalla definizione della configurazione così come disciplinato dall’Art.____ del contratto.</w:t>
      </w:r>
    </w:p>
    <w:p w:rsidR="003E63DA" w:rsidRPr="003203E8" w:rsidRDefault="003E63DA" w:rsidP="003203E8">
      <w:pPr>
        <w:numPr>
          <w:ilvl w:val="0"/>
          <w:numId w:val="1"/>
        </w:numPr>
        <w:spacing w:after="240"/>
        <w:ind w:left="714" w:hanging="357"/>
        <w:rPr>
          <w:rFonts w:ascii="Arial" w:hAnsi="Arial" w:cs="Arial"/>
        </w:rPr>
      </w:pPr>
      <w:r w:rsidRPr="003203E8">
        <w:rPr>
          <w:rFonts w:ascii="Arial" w:hAnsi="Arial" w:cs="Arial"/>
        </w:rPr>
        <w:t>Ad eccezione dei progetti comuni NATO e non NATO, dove la ditta nazionale che partecipa al progetto (</w:t>
      </w:r>
      <w:r w:rsidRPr="003203E8">
        <w:rPr>
          <w:rFonts w:ascii="Arial" w:hAnsi="Arial" w:cs="Arial"/>
          <w:i/>
        </w:rPr>
        <w:t>Partner Company</w:t>
      </w:r>
      <w:r w:rsidRPr="003203E8">
        <w:rPr>
          <w:rFonts w:ascii="Arial" w:hAnsi="Arial" w:cs="Arial"/>
        </w:rPr>
        <w:t xml:space="preserve"> - PC) sarà responsabile dal punto di vista </w:t>
      </w:r>
      <w:proofErr w:type="gramStart"/>
      <w:r w:rsidRPr="003203E8">
        <w:rPr>
          <w:rFonts w:ascii="Arial" w:hAnsi="Arial" w:cs="Arial"/>
        </w:rPr>
        <w:t>tecnico  e</w:t>
      </w:r>
      <w:proofErr w:type="gramEnd"/>
      <w:r w:rsidRPr="003203E8">
        <w:rPr>
          <w:rFonts w:ascii="Arial" w:hAnsi="Arial" w:cs="Arial"/>
        </w:rPr>
        <w:t xml:space="preserve"> pertanto le attività di verifica delle liste non verranno effettuate in quanto le liste stesse saranno inviate direttamente all’OCC.</w:t>
      </w:r>
    </w:p>
    <w:p w:rsidR="003E63DA" w:rsidRPr="003203E8" w:rsidRDefault="003E63DA" w:rsidP="003203E8">
      <w:pPr>
        <w:numPr>
          <w:ilvl w:val="0"/>
          <w:numId w:val="1"/>
        </w:numPr>
        <w:spacing w:after="240"/>
        <w:ind w:left="714" w:hanging="357"/>
        <w:rPr>
          <w:rFonts w:ascii="Arial" w:hAnsi="Arial" w:cs="Arial"/>
        </w:rPr>
      </w:pPr>
      <w:r w:rsidRPr="003203E8">
        <w:rPr>
          <w:rFonts w:ascii="Arial" w:hAnsi="Arial" w:cs="Arial"/>
        </w:rPr>
        <w:t>Non oltre 15 (quindici) giorni.</w:t>
      </w:r>
    </w:p>
    <w:p w:rsidR="003E63DA" w:rsidRPr="003203E8" w:rsidRDefault="003E63DA" w:rsidP="003203E8">
      <w:pPr>
        <w:numPr>
          <w:ilvl w:val="0"/>
          <w:numId w:val="1"/>
        </w:numPr>
        <w:spacing w:after="240"/>
        <w:ind w:left="703" w:hanging="357"/>
        <w:rPr>
          <w:rFonts w:ascii="Arial" w:hAnsi="Arial" w:cs="Arial"/>
        </w:rPr>
      </w:pPr>
      <w:r w:rsidRPr="003203E8">
        <w:rPr>
          <w:rFonts w:ascii="Arial" w:hAnsi="Arial" w:cs="Arial"/>
        </w:rPr>
        <w:t>Eccezionalmente anche per articoli già codificati per i quali l’OCC ritenga necessario aggiornare i dati.</w:t>
      </w:r>
    </w:p>
    <w:p w:rsidR="003E63DA" w:rsidRPr="003203E8" w:rsidRDefault="003E63DA" w:rsidP="003203E8">
      <w:pPr>
        <w:numPr>
          <w:ilvl w:val="0"/>
          <w:numId w:val="1"/>
        </w:numPr>
        <w:rPr>
          <w:rFonts w:ascii="Arial" w:hAnsi="Arial" w:cs="Arial"/>
        </w:rPr>
      </w:pPr>
      <w:r w:rsidRPr="003203E8">
        <w:rPr>
          <w:rFonts w:ascii="Arial" w:hAnsi="Arial" w:cs="Arial"/>
        </w:rPr>
        <w:t>Assegnata dall’EL/OC di FA in attuazione della normativa vigente.</w:t>
      </w:r>
    </w:p>
    <w:sectPr w:rsidR="003E63DA" w:rsidRPr="003203E8">
      <w:headerReference w:type="even" r:id="rId10"/>
      <w:headerReference w:type="default" r:id="rId11"/>
      <w:footerReference w:type="even" r:id="rId12"/>
      <w:footerReference w:type="default" r:id="rId13"/>
      <w:headerReference w:type="first" r:id="rId14"/>
      <w:footerReference w:type="first" r:id="rId15"/>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A3370" w:rsidRDefault="00DA3370" w:rsidP="001D2632">
      <w:r>
        <w:separator/>
      </w:r>
    </w:p>
  </w:endnote>
  <w:endnote w:type="continuationSeparator" w:id="0">
    <w:p w:rsidR="00DA3370" w:rsidRDefault="00DA3370" w:rsidP="001D26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8493C" w:rsidRDefault="0098493C">
    <w:pPr>
      <w:pStyle w:val="Pidipa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8493C" w:rsidRDefault="0098493C">
    <w:pPr>
      <w:pStyle w:val="Pidipagin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8493C" w:rsidRDefault="0098493C">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A3370" w:rsidRDefault="00DA3370" w:rsidP="001D2632">
      <w:r>
        <w:separator/>
      </w:r>
    </w:p>
  </w:footnote>
  <w:footnote w:type="continuationSeparator" w:id="0">
    <w:p w:rsidR="00DA3370" w:rsidRDefault="00DA3370" w:rsidP="001D263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8493C" w:rsidRDefault="0098493C">
    <w:pPr>
      <w:pStyle w:val="Intestazio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D2632" w:rsidRPr="00DA799A" w:rsidRDefault="00DB52D0" w:rsidP="001D2632">
    <w:pPr>
      <w:pStyle w:val="Intestazione"/>
      <w:jc w:val="right"/>
      <w:rPr>
        <w:rFonts w:ascii="Arial" w:hAnsi="Arial" w:cs="Arial"/>
        <w:b/>
      </w:rPr>
    </w:pPr>
    <w:r w:rsidRPr="00697745">
      <w:rPr>
        <w:rFonts w:ascii="Arial" w:hAnsi="Arial" w:cs="Arial"/>
        <w:b/>
      </w:rPr>
      <w:t xml:space="preserve">Allegato </w:t>
    </w:r>
    <w:r w:rsidR="002E508A" w:rsidRPr="00697745">
      <w:rPr>
        <w:rFonts w:ascii="Arial" w:hAnsi="Arial" w:cs="Arial"/>
        <w:b/>
      </w:rPr>
      <w:t xml:space="preserve">n. </w:t>
    </w:r>
    <w:r w:rsidR="007A1FAD">
      <w:rPr>
        <w:rFonts w:ascii="Arial" w:hAnsi="Arial" w:cs="Arial"/>
        <w:b/>
      </w:rPr>
      <w:t>9</w:t>
    </w:r>
    <w:bookmarkStart w:id="0" w:name="_GoBack"/>
    <w:bookmarkEnd w:id="0"/>
  </w:p>
  <w:p w:rsidR="001D2632" w:rsidRDefault="001D2632">
    <w:pPr>
      <w:pStyle w:val="Intestazion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8493C" w:rsidRDefault="0098493C">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F983F39"/>
    <w:multiLevelType w:val="hybridMultilevel"/>
    <w:tmpl w:val="18B43784"/>
    <w:lvl w:ilvl="0" w:tplc="3DBE22AC">
      <w:start w:val="1"/>
      <w:numFmt w:val="decimal"/>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63DA"/>
    <w:rsid w:val="000D7D3F"/>
    <w:rsid w:val="000E31AE"/>
    <w:rsid w:val="0010382F"/>
    <w:rsid w:val="001D2632"/>
    <w:rsid w:val="001E5445"/>
    <w:rsid w:val="002461EB"/>
    <w:rsid w:val="002E508A"/>
    <w:rsid w:val="003203E8"/>
    <w:rsid w:val="003B4562"/>
    <w:rsid w:val="003E63DA"/>
    <w:rsid w:val="006168EA"/>
    <w:rsid w:val="0063639E"/>
    <w:rsid w:val="00697745"/>
    <w:rsid w:val="007A1FAD"/>
    <w:rsid w:val="007C761E"/>
    <w:rsid w:val="008735B7"/>
    <w:rsid w:val="00967215"/>
    <w:rsid w:val="0098493C"/>
    <w:rsid w:val="009A44B1"/>
    <w:rsid w:val="00BC372A"/>
    <w:rsid w:val="00DA3370"/>
    <w:rsid w:val="00DA799A"/>
    <w:rsid w:val="00DB52D0"/>
    <w:rsid w:val="00EC7EE7"/>
    <w:rsid w:val="00F622A0"/>
    <w:rsid w:val="00FB468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0BE364A-8E39-48DE-9696-00900BF27B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it-IT" w:eastAsia="it-I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3E63DA"/>
    <w:rPr>
      <w:rFonts w:ascii="Times New Roman" w:eastAsia="Times New Roman" w:hAnsi="Times New Roman"/>
      <w:sz w:val="24"/>
      <w:szCs w:val="24"/>
    </w:rPr>
  </w:style>
  <w:style w:type="paragraph" w:styleId="Titolo1">
    <w:name w:val="heading 1"/>
    <w:basedOn w:val="Normale"/>
    <w:next w:val="Normale"/>
    <w:link w:val="Titolo1Carattere"/>
    <w:uiPriority w:val="9"/>
    <w:qFormat/>
    <w:rsid w:val="0010382F"/>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Titolo2">
    <w:name w:val="heading 2"/>
    <w:basedOn w:val="Normale"/>
    <w:next w:val="Normale"/>
    <w:link w:val="Titolo2Carattere"/>
    <w:uiPriority w:val="9"/>
    <w:unhideWhenUsed/>
    <w:qFormat/>
    <w:rsid w:val="001D2632"/>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uiPriority w:val="99"/>
    <w:semiHidden/>
    <w:unhideWhenUsed/>
    <w:rsid w:val="003E63DA"/>
    <w:rPr>
      <w:color w:val="0000FF"/>
      <w:u w:val="single"/>
    </w:rPr>
  </w:style>
  <w:style w:type="paragraph" w:styleId="Titolo">
    <w:name w:val="Title"/>
    <w:basedOn w:val="Normale"/>
    <w:next w:val="Normale"/>
    <w:link w:val="TitoloCarattere"/>
    <w:uiPriority w:val="10"/>
    <w:qFormat/>
    <w:rsid w:val="0010382F"/>
    <w:pPr>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uiPriority w:val="10"/>
    <w:rsid w:val="0010382F"/>
    <w:rPr>
      <w:rFonts w:asciiTheme="majorHAnsi" w:eastAsiaTheme="majorEastAsia" w:hAnsiTheme="majorHAnsi" w:cstheme="majorBidi"/>
      <w:spacing w:val="-10"/>
      <w:kern w:val="28"/>
      <w:sz w:val="56"/>
      <w:szCs w:val="56"/>
    </w:rPr>
  </w:style>
  <w:style w:type="character" w:customStyle="1" w:styleId="Titolo1Carattere">
    <w:name w:val="Titolo 1 Carattere"/>
    <w:basedOn w:val="Carpredefinitoparagrafo"/>
    <w:link w:val="Titolo1"/>
    <w:uiPriority w:val="9"/>
    <w:rsid w:val="0010382F"/>
    <w:rPr>
      <w:rFonts w:asciiTheme="majorHAnsi" w:eastAsiaTheme="majorEastAsia" w:hAnsiTheme="majorHAnsi" w:cstheme="majorBidi"/>
      <w:color w:val="365F91" w:themeColor="accent1" w:themeShade="BF"/>
      <w:sz w:val="32"/>
      <w:szCs w:val="32"/>
    </w:rPr>
  </w:style>
  <w:style w:type="paragraph" w:styleId="Titolosommario">
    <w:name w:val="TOC Heading"/>
    <w:basedOn w:val="Titolo1"/>
    <w:next w:val="Normale"/>
    <w:uiPriority w:val="39"/>
    <w:unhideWhenUsed/>
    <w:qFormat/>
    <w:rsid w:val="0010382F"/>
    <w:pPr>
      <w:spacing w:line="259" w:lineRule="auto"/>
      <w:outlineLvl w:val="9"/>
    </w:pPr>
  </w:style>
  <w:style w:type="paragraph" w:styleId="Intestazione">
    <w:name w:val="header"/>
    <w:basedOn w:val="Normale"/>
    <w:link w:val="IntestazioneCarattere"/>
    <w:uiPriority w:val="99"/>
    <w:unhideWhenUsed/>
    <w:rsid w:val="001D2632"/>
    <w:pPr>
      <w:tabs>
        <w:tab w:val="center" w:pos="4819"/>
        <w:tab w:val="right" w:pos="9638"/>
      </w:tabs>
    </w:pPr>
  </w:style>
  <w:style w:type="character" w:customStyle="1" w:styleId="IntestazioneCarattere">
    <w:name w:val="Intestazione Carattere"/>
    <w:basedOn w:val="Carpredefinitoparagrafo"/>
    <w:link w:val="Intestazione"/>
    <w:uiPriority w:val="99"/>
    <w:rsid w:val="001D2632"/>
    <w:rPr>
      <w:rFonts w:ascii="Times New Roman" w:eastAsia="Times New Roman" w:hAnsi="Times New Roman"/>
      <w:sz w:val="24"/>
      <w:szCs w:val="24"/>
    </w:rPr>
  </w:style>
  <w:style w:type="paragraph" w:styleId="Pidipagina">
    <w:name w:val="footer"/>
    <w:basedOn w:val="Normale"/>
    <w:link w:val="PidipaginaCarattere"/>
    <w:uiPriority w:val="99"/>
    <w:unhideWhenUsed/>
    <w:rsid w:val="001D2632"/>
    <w:pPr>
      <w:tabs>
        <w:tab w:val="center" w:pos="4819"/>
        <w:tab w:val="right" w:pos="9638"/>
      </w:tabs>
    </w:pPr>
  </w:style>
  <w:style w:type="character" w:customStyle="1" w:styleId="PidipaginaCarattere">
    <w:name w:val="Piè di pagina Carattere"/>
    <w:basedOn w:val="Carpredefinitoparagrafo"/>
    <w:link w:val="Pidipagina"/>
    <w:uiPriority w:val="99"/>
    <w:rsid w:val="001D2632"/>
    <w:rPr>
      <w:rFonts w:ascii="Times New Roman" w:eastAsia="Times New Roman" w:hAnsi="Times New Roman"/>
      <w:sz w:val="24"/>
      <w:szCs w:val="24"/>
    </w:rPr>
  </w:style>
  <w:style w:type="character" w:customStyle="1" w:styleId="Titolo2Carattere">
    <w:name w:val="Titolo 2 Carattere"/>
    <w:basedOn w:val="Carpredefinitoparagrafo"/>
    <w:link w:val="Titolo2"/>
    <w:uiPriority w:val="9"/>
    <w:rsid w:val="001D2632"/>
    <w:rPr>
      <w:rFonts w:asciiTheme="majorHAnsi" w:eastAsiaTheme="majorEastAsia" w:hAnsiTheme="majorHAnsi" w:cstheme="majorBidi"/>
      <w:color w:val="365F91"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iac.difesa.it/"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siac.difesa.it/" TargetMode="External"/><Relationship Id="rId14" Type="http://schemas.openxmlformats.org/officeDocument/2006/relationships/header" Target="header3.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C5DD77A-DD81-46EA-9843-74A88C6131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1804</Words>
  <Characters>10289</Characters>
  <Application>Microsoft Office Word</Application>
  <DocSecurity>0</DocSecurity>
  <Lines>85</Lines>
  <Paragraphs>24</Paragraphs>
  <ScaleCrop>false</ScaleCrop>
  <HeadingPairs>
    <vt:vector size="2" baseType="variant">
      <vt:variant>
        <vt:lpstr>Titolo</vt:lpstr>
      </vt:variant>
      <vt:variant>
        <vt:i4>1</vt:i4>
      </vt:variant>
    </vt:vector>
  </HeadingPairs>
  <TitlesOfParts>
    <vt:vector size="1" baseType="lpstr">
      <vt:lpstr>Allegato 15 Clausula Standard di codificazione</vt:lpstr>
    </vt:vector>
  </TitlesOfParts>
  <Manager>r1d2s0@commiservizi.difesa.it</Manager>
  <Company>Ministero Della Difesa</Company>
  <LinksUpToDate>false</LinksUpToDate>
  <CharactersWithSpaces>12069</CharactersWithSpaces>
  <SharedDoc>false</SharedDoc>
  <HLinks>
    <vt:vector size="12" baseType="variant">
      <vt:variant>
        <vt:i4>3932273</vt:i4>
      </vt:variant>
      <vt:variant>
        <vt:i4>3</vt:i4>
      </vt:variant>
      <vt:variant>
        <vt:i4>0</vt:i4>
      </vt:variant>
      <vt:variant>
        <vt:i4>5</vt:i4>
      </vt:variant>
      <vt:variant>
        <vt:lpwstr>http://www.siac.difesa.it/</vt:lpwstr>
      </vt:variant>
      <vt:variant>
        <vt:lpwstr/>
      </vt:variant>
      <vt:variant>
        <vt:i4>3932273</vt:i4>
      </vt:variant>
      <vt:variant>
        <vt:i4>0</vt:i4>
      </vt:variant>
      <vt:variant>
        <vt:i4>0</vt:i4>
      </vt:variant>
      <vt:variant>
        <vt:i4>5</vt:i4>
      </vt:variant>
      <vt:variant>
        <vt:lpwstr>http://www.siac.difesa.it/</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 15 Clausula Standard di codificazione</dc:title>
  <dc:creator>francesco.bottone@aeronautica.difesa.it</dc:creator>
  <cp:lastModifiedBy>Spagnolo, T.V. Luca - COMMISERVIZI</cp:lastModifiedBy>
  <cp:revision>6</cp:revision>
  <dcterms:created xsi:type="dcterms:W3CDTF">2020-04-17T10:22:00Z</dcterms:created>
  <dcterms:modified xsi:type="dcterms:W3CDTF">2023-05-18T11:42:00Z</dcterms:modified>
</cp:coreProperties>
</file>